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D8BF" w14:textId="77777777" w:rsidR="00DC4D31" w:rsidRDefault="00DC4D31" w:rsidP="00DC4D31">
      <w:pPr>
        <w:pStyle w:val="Heading1"/>
        <w:jc w:val="center"/>
      </w:pPr>
      <w:bookmarkStart w:id="0" w:name="_Toc36542361"/>
      <w:r>
        <w:t>TRAVEL</w:t>
      </w:r>
      <w:bookmarkEnd w:id="0"/>
    </w:p>
    <w:p w14:paraId="4948E084" w14:textId="77777777" w:rsidR="00DC4D31" w:rsidRPr="00D047FA" w:rsidRDefault="00DC4D31" w:rsidP="00DC4D31">
      <w:pPr>
        <w:pStyle w:val="Heading2"/>
      </w:pPr>
      <w:bookmarkStart w:id="1" w:name="_Toc36542362"/>
      <w:r w:rsidRPr="009310F1">
        <w:rPr>
          <w:bCs/>
        </w:rPr>
        <w:t>Transportation</w:t>
      </w:r>
      <w:r w:rsidRPr="00D047FA">
        <w:t xml:space="preserve"> - To reimbursement, the following regulations are prescribed:</w:t>
      </w:r>
      <w:bookmarkEnd w:id="1"/>
    </w:p>
    <w:p w14:paraId="0BDA0C96" w14:textId="77777777" w:rsidR="00DC4D31" w:rsidRPr="00F96D7A" w:rsidRDefault="00DC4D31" w:rsidP="00DC4D31">
      <w:pPr>
        <w:pStyle w:val="NoSpacing"/>
        <w:numPr>
          <w:ilvl w:val="2"/>
          <w:numId w:val="2"/>
        </w:numPr>
        <w:rPr>
          <w:rFonts w:asciiTheme="majorHAnsi" w:hAnsiTheme="majorHAnsi" w:cstheme="majorHAnsi"/>
          <w:sz w:val="22"/>
          <w:szCs w:val="22"/>
        </w:rPr>
      </w:pPr>
      <w:r w:rsidRPr="00F96D7A">
        <w:rPr>
          <w:rFonts w:asciiTheme="majorHAnsi" w:hAnsiTheme="majorHAnsi" w:cstheme="majorHAnsi"/>
          <w:sz w:val="22"/>
          <w:szCs w:val="22"/>
        </w:rPr>
        <w:t>Travel should be reserved for an exempt employee unless the position requires training and/or certifications only available off parish property.</w:t>
      </w:r>
    </w:p>
    <w:p w14:paraId="472187CB" w14:textId="77777777" w:rsidR="00DC4D31" w:rsidRPr="00F96D7A" w:rsidRDefault="00DC4D31" w:rsidP="00DC4D31">
      <w:pPr>
        <w:pStyle w:val="NoSpacing"/>
        <w:numPr>
          <w:ilvl w:val="2"/>
          <w:numId w:val="2"/>
        </w:numPr>
        <w:rPr>
          <w:rFonts w:asciiTheme="majorHAnsi" w:hAnsiTheme="majorHAnsi" w:cstheme="majorHAnsi"/>
          <w:sz w:val="22"/>
          <w:szCs w:val="22"/>
        </w:rPr>
      </w:pPr>
      <w:r w:rsidRPr="00F96D7A">
        <w:rPr>
          <w:rFonts w:asciiTheme="majorHAnsi" w:hAnsiTheme="majorHAnsi" w:cstheme="majorHAnsi"/>
          <w:sz w:val="22"/>
          <w:szCs w:val="22"/>
        </w:rPr>
        <w:t xml:space="preserve">In any case where a non-exempt employee sees the need to travel, the supervisor must document the hours the employee attended the </w:t>
      </w:r>
      <w:proofErr w:type="gramStart"/>
      <w:r w:rsidRPr="00F96D7A">
        <w:rPr>
          <w:rFonts w:asciiTheme="majorHAnsi" w:hAnsiTheme="majorHAnsi" w:cstheme="majorHAnsi"/>
          <w:sz w:val="22"/>
          <w:szCs w:val="22"/>
        </w:rPr>
        <w:t>trainings</w:t>
      </w:r>
      <w:proofErr w:type="gramEnd"/>
      <w:r w:rsidRPr="00F96D7A">
        <w:rPr>
          <w:rFonts w:asciiTheme="majorHAnsi" w:hAnsiTheme="majorHAnsi" w:cstheme="majorHAnsi"/>
          <w:sz w:val="22"/>
          <w:szCs w:val="22"/>
        </w:rPr>
        <w:t xml:space="preserve"> or meetings. Please see Personnel for further instructions on how to document.</w:t>
      </w:r>
    </w:p>
    <w:p w14:paraId="6C636483"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Mileage allowance shall be authorized for travelers using personally owned vehicles while in the conduct of official Parish business. </w:t>
      </w:r>
    </w:p>
    <w:p w14:paraId="3C13F9C4"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Mileage shall be reimbursable based on the per mile rate as stated in the Louisiana Travel Guide Policy and Procedure Memorandum 49 as provided by the State of Louisiana, Division of Administration, effective July 1 of each year. </w:t>
      </w:r>
    </w:p>
    <w:p w14:paraId="65619790"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The traveler shall be required to pay all operating expenses of the vehicle such as, but not limited to fuel, repairs, replacement of parts, and insurance.  </w:t>
      </w:r>
    </w:p>
    <w:p w14:paraId="6C005477"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Reimbursement for mileage by use of personally owned vehicles will not exceed the cost of commercial airfare transportation. </w:t>
      </w:r>
    </w:p>
    <w:p w14:paraId="63B53B4F"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When privately owned vehicles are used for out of Parish travel, the employee must document the mileage reimbursement, in writing, by using a website mileage calculator or a published software package for calculating mileage. The employee is to print the page indicating the mileage and attach it to their travel expense reimbursement form, the purpose of the trip, date, and times. This request must be signed by the </w:t>
      </w:r>
      <w:proofErr w:type="gramStart"/>
      <w:r w:rsidRPr="00D047FA">
        <w:rPr>
          <w:rFonts w:asciiTheme="majorHAnsi" w:hAnsiTheme="majorHAnsi" w:cstheme="majorHAnsi"/>
          <w:sz w:val="22"/>
          <w:szCs w:val="22"/>
        </w:rPr>
        <w:t>employee’s</w:t>
      </w:r>
      <w:proofErr w:type="gramEnd"/>
      <w:r w:rsidRPr="00D047FA">
        <w:rPr>
          <w:rFonts w:asciiTheme="majorHAnsi" w:hAnsiTheme="majorHAnsi" w:cstheme="majorHAnsi"/>
          <w:sz w:val="22"/>
          <w:szCs w:val="22"/>
        </w:rPr>
        <w:t xml:space="preserve"> Director indicating approval of the trip and certifying that the travel was in fact accomplished. The Department Director must approve the travel reimbursement before payment is made.</w:t>
      </w:r>
    </w:p>
    <w:p w14:paraId="3AB13D10"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Employees driving parish owned vehicles are required to have prior approval by the Parish President when using the vehicle for getting to and from work. St. James Parish Government employees, or any others approved by the Parish President, holding the required and appropriate vehicle operator’s licenses can operate parish owned vehicles and equipment. Parish officials and employees using either Parish-owned vehicles or personally- owned vehicles on official Parish business will be reimbursed for storage and parking fees, ferry fares, and road and bridge tolls.</w:t>
      </w:r>
    </w:p>
    <w:p w14:paraId="3C804FDA" w14:textId="77777777" w:rsidR="00DC4D31" w:rsidRPr="00D047FA" w:rsidRDefault="00DC4D31" w:rsidP="00DC4D31">
      <w:pPr>
        <w:pStyle w:val="NoSpacing"/>
        <w:numPr>
          <w:ilvl w:val="2"/>
          <w:numId w:val="2"/>
        </w:numPr>
        <w:rPr>
          <w:rFonts w:asciiTheme="majorHAnsi" w:hAnsiTheme="majorHAnsi" w:cstheme="majorHAnsi"/>
          <w:sz w:val="22"/>
          <w:szCs w:val="22"/>
        </w:rPr>
      </w:pPr>
      <w:r w:rsidRPr="00D047FA">
        <w:rPr>
          <w:rFonts w:asciiTheme="majorHAnsi" w:hAnsiTheme="majorHAnsi" w:cstheme="majorHAnsi"/>
          <w:sz w:val="22"/>
          <w:szCs w:val="22"/>
        </w:rPr>
        <w:t xml:space="preserve">Travel other than by Parish-owned vehicles or </w:t>
      </w:r>
      <w:proofErr w:type="gramStart"/>
      <w:r w:rsidRPr="00D047FA">
        <w:rPr>
          <w:rFonts w:asciiTheme="majorHAnsi" w:hAnsiTheme="majorHAnsi" w:cstheme="majorHAnsi"/>
          <w:sz w:val="22"/>
          <w:szCs w:val="22"/>
        </w:rPr>
        <w:t>personally-owned</w:t>
      </w:r>
      <w:proofErr w:type="gramEnd"/>
      <w:r w:rsidRPr="00D047FA">
        <w:rPr>
          <w:rFonts w:asciiTheme="majorHAnsi" w:hAnsiTheme="majorHAnsi" w:cstheme="majorHAnsi"/>
          <w:sz w:val="22"/>
          <w:szCs w:val="22"/>
        </w:rPr>
        <w:t xml:space="preserve"> vehicles by Parish employees on Parish business shall be reimbursed up to the cost of commercial airfare upon the presentation of receipts from a bona-fide commercial carrier attached to the travel expense record</w:t>
      </w:r>
      <w:r>
        <w:rPr>
          <w:rFonts w:asciiTheme="majorHAnsi" w:hAnsiTheme="majorHAnsi" w:cstheme="majorHAnsi"/>
          <w:sz w:val="22"/>
          <w:szCs w:val="22"/>
        </w:rPr>
        <w:t xml:space="preserve"> in exception to extraordinary circumstances</w:t>
      </w:r>
      <w:r w:rsidRPr="00D047FA">
        <w:rPr>
          <w:rFonts w:asciiTheme="majorHAnsi" w:hAnsiTheme="majorHAnsi" w:cstheme="majorHAnsi"/>
          <w:sz w:val="22"/>
          <w:szCs w:val="22"/>
        </w:rPr>
        <w:t>.</w:t>
      </w:r>
    </w:p>
    <w:p w14:paraId="21842B26" w14:textId="77777777" w:rsidR="00DC4D31" w:rsidRDefault="00DC4D31" w:rsidP="00DC4D31">
      <w:pPr>
        <w:pStyle w:val="Heading2"/>
      </w:pPr>
      <w:bookmarkStart w:id="2" w:name="_Toc36542363"/>
      <w:r w:rsidRPr="00D047FA">
        <w:t>Meals (Including Tips) - In-State/Out-of-State Travel</w:t>
      </w:r>
      <w:bookmarkEnd w:id="2"/>
      <w:r w:rsidRPr="00D047FA">
        <w:t xml:space="preserve"> </w:t>
      </w:r>
    </w:p>
    <w:p w14:paraId="6678192F" w14:textId="77777777" w:rsidR="00DC4D31" w:rsidRDefault="00DC4D31" w:rsidP="00DC4D31">
      <w:pPr>
        <w:pStyle w:val="NoSpacing"/>
        <w:numPr>
          <w:ilvl w:val="2"/>
          <w:numId w:val="2"/>
        </w:numPr>
        <w:rPr>
          <w:rFonts w:asciiTheme="majorHAnsi" w:hAnsiTheme="majorHAnsi" w:cstheme="majorHAnsi"/>
          <w:sz w:val="22"/>
          <w:szCs w:val="22"/>
        </w:rPr>
      </w:pPr>
      <w:r w:rsidRPr="007F238F">
        <w:rPr>
          <w:rFonts w:asciiTheme="majorHAnsi" w:hAnsiTheme="majorHAnsi" w:cstheme="majorHAnsi"/>
          <w:sz w:val="22"/>
          <w:szCs w:val="22"/>
        </w:rPr>
        <w:t>When travel with overnight stay is required, as determined by the Department Director or Parish President, travelers will be reimbursed a per diem rate (no receipts required) according to the following schedule:</w:t>
      </w:r>
    </w:p>
    <w:p w14:paraId="286B0BBF" w14:textId="77777777" w:rsidR="00DC4D31" w:rsidRPr="007F238F" w:rsidRDefault="00DC4D31" w:rsidP="00DC4D31">
      <w:pPr>
        <w:pStyle w:val="NoSpacing"/>
        <w:ind w:left="2016" w:firstLine="144"/>
        <w:rPr>
          <w:rFonts w:asciiTheme="majorHAnsi" w:hAnsiTheme="majorHAnsi" w:cstheme="majorHAnsi"/>
          <w:sz w:val="22"/>
          <w:szCs w:val="22"/>
        </w:rPr>
      </w:pPr>
      <w:r w:rsidRPr="007F238F">
        <w:rPr>
          <w:rFonts w:asciiTheme="majorHAnsi" w:hAnsiTheme="majorHAnsi" w:cstheme="majorHAnsi"/>
          <w:sz w:val="22"/>
          <w:szCs w:val="22"/>
        </w:rPr>
        <w:t>In state travel - $ 65 per day</w:t>
      </w:r>
    </w:p>
    <w:p w14:paraId="2DAE78E7" w14:textId="77777777" w:rsidR="00DC4D31" w:rsidRPr="003752C8" w:rsidRDefault="00DC4D31" w:rsidP="00DC4D31">
      <w:pPr>
        <w:pStyle w:val="NoSpacing"/>
        <w:ind w:left="2088" w:firstLine="72"/>
        <w:rPr>
          <w:rFonts w:asciiTheme="majorHAnsi" w:hAnsiTheme="majorHAnsi" w:cstheme="majorHAnsi"/>
          <w:sz w:val="22"/>
          <w:szCs w:val="22"/>
        </w:rPr>
      </w:pPr>
      <w:r w:rsidRPr="003752C8">
        <w:rPr>
          <w:rFonts w:asciiTheme="majorHAnsi" w:hAnsiTheme="majorHAnsi" w:cstheme="majorHAnsi"/>
          <w:sz w:val="22"/>
          <w:szCs w:val="22"/>
        </w:rPr>
        <w:t xml:space="preserve">Out of state travel - $ </w:t>
      </w:r>
      <w:r>
        <w:rPr>
          <w:rFonts w:asciiTheme="majorHAnsi" w:hAnsiTheme="majorHAnsi" w:cstheme="majorHAnsi"/>
          <w:sz w:val="22"/>
          <w:szCs w:val="22"/>
        </w:rPr>
        <w:t>7</w:t>
      </w:r>
      <w:r w:rsidRPr="003752C8">
        <w:rPr>
          <w:rFonts w:asciiTheme="majorHAnsi" w:hAnsiTheme="majorHAnsi" w:cstheme="majorHAnsi"/>
          <w:sz w:val="22"/>
          <w:szCs w:val="22"/>
        </w:rPr>
        <w:t>5 per day</w:t>
      </w:r>
    </w:p>
    <w:p w14:paraId="1960F995" w14:textId="77777777" w:rsidR="00DC4D31" w:rsidRPr="003752C8" w:rsidRDefault="00DC4D31" w:rsidP="00DC4D31">
      <w:pPr>
        <w:pStyle w:val="Heading2"/>
      </w:pPr>
      <w:bookmarkStart w:id="3" w:name="_Toc36542364"/>
      <w:r w:rsidRPr="003752C8">
        <w:t>Lodging</w:t>
      </w:r>
      <w:bookmarkEnd w:id="3"/>
      <w:r w:rsidRPr="003752C8">
        <w:t xml:space="preserve"> </w:t>
      </w:r>
    </w:p>
    <w:p w14:paraId="38537D6E" w14:textId="77777777" w:rsidR="00DC4D31" w:rsidRPr="00B57EAD" w:rsidRDefault="00DC4D31" w:rsidP="00DC4D31">
      <w:pPr>
        <w:pStyle w:val="NoSpacing"/>
        <w:numPr>
          <w:ilvl w:val="2"/>
          <w:numId w:val="3"/>
        </w:numPr>
        <w:rPr>
          <w:rFonts w:asciiTheme="majorHAnsi" w:hAnsiTheme="majorHAnsi" w:cstheme="majorHAnsi"/>
          <w:sz w:val="22"/>
          <w:szCs w:val="22"/>
        </w:rPr>
      </w:pPr>
      <w:r w:rsidRPr="003752C8">
        <w:rPr>
          <w:rFonts w:asciiTheme="majorHAnsi" w:hAnsiTheme="majorHAnsi" w:cstheme="majorHAnsi"/>
          <w:sz w:val="22"/>
          <w:szCs w:val="22"/>
        </w:rPr>
        <w:t>Employees may be reimbursed actual reasonable expenses (reasonable determined by Parish President or Department Directors) for lodging. Receipts from a bona fide hotel or motel for lodging shall be submitted and attached to the travel expense record.</w:t>
      </w:r>
    </w:p>
    <w:p w14:paraId="75FFB68E" w14:textId="77777777" w:rsidR="00DC4D31" w:rsidRDefault="00DC4D31" w:rsidP="00DC4D31">
      <w:pPr>
        <w:pStyle w:val="Heading2"/>
      </w:pPr>
      <w:bookmarkStart w:id="4" w:name="_Toc36542365"/>
      <w:r w:rsidRPr="009310F1">
        <w:rPr>
          <w:bCs/>
        </w:rPr>
        <w:t>Other Expenses</w:t>
      </w:r>
      <w:r w:rsidRPr="00D047FA">
        <w:t xml:space="preserve"> </w:t>
      </w:r>
      <w:r>
        <w:t>–</w:t>
      </w:r>
      <w:bookmarkEnd w:id="4"/>
      <w:r w:rsidRPr="00D047FA">
        <w:t xml:space="preserve"> </w:t>
      </w:r>
    </w:p>
    <w:p w14:paraId="6E0B5E5E" w14:textId="77777777" w:rsidR="00DC4D31" w:rsidRPr="00B57EAD" w:rsidRDefault="00DC4D31" w:rsidP="00DC4D31">
      <w:pPr>
        <w:pStyle w:val="NoSpacing"/>
        <w:numPr>
          <w:ilvl w:val="2"/>
          <w:numId w:val="4"/>
        </w:numPr>
        <w:rPr>
          <w:rFonts w:asciiTheme="majorHAnsi" w:hAnsiTheme="majorHAnsi" w:cstheme="majorHAnsi"/>
          <w:sz w:val="22"/>
          <w:szCs w:val="22"/>
        </w:rPr>
      </w:pPr>
      <w:r w:rsidRPr="00B57EAD">
        <w:rPr>
          <w:rFonts w:asciiTheme="majorHAnsi" w:hAnsiTheme="majorHAnsi" w:cstheme="majorHAnsi"/>
          <w:sz w:val="22"/>
          <w:szCs w:val="22"/>
        </w:rPr>
        <w:t>Only the following expenses incidental to travel may be reimbursed upon documentation of proper receipts:</w:t>
      </w:r>
    </w:p>
    <w:p w14:paraId="453034DC" w14:textId="77777777" w:rsidR="00DC4D31" w:rsidRPr="00D047FA" w:rsidRDefault="00DC4D31" w:rsidP="00DC4D31">
      <w:pPr>
        <w:pStyle w:val="NoSpacing"/>
        <w:numPr>
          <w:ilvl w:val="3"/>
          <w:numId w:val="4"/>
        </w:numPr>
        <w:rPr>
          <w:rFonts w:asciiTheme="majorHAnsi" w:hAnsiTheme="majorHAnsi" w:cstheme="majorHAnsi"/>
          <w:sz w:val="22"/>
          <w:szCs w:val="22"/>
        </w:rPr>
      </w:pPr>
      <w:r w:rsidRPr="00D047FA">
        <w:rPr>
          <w:rFonts w:asciiTheme="majorHAnsi" w:hAnsiTheme="majorHAnsi" w:cstheme="majorHAnsi"/>
          <w:sz w:val="22"/>
          <w:szCs w:val="22"/>
        </w:rPr>
        <w:t>Communication expense relative to official Parish business.</w:t>
      </w:r>
    </w:p>
    <w:p w14:paraId="6568A75F" w14:textId="77777777" w:rsidR="00DC4D31" w:rsidRPr="00D047FA" w:rsidRDefault="00DC4D31" w:rsidP="00DC4D31">
      <w:pPr>
        <w:pStyle w:val="NoSpacing"/>
        <w:numPr>
          <w:ilvl w:val="3"/>
          <w:numId w:val="4"/>
        </w:numPr>
        <w:rPr>
          <w:rFonts w:asciiTheme="majorHAnsi" w:hAnsiTheme="majorHAnsi" w:cstheme="majorHAnsi"/>
          <w:sz w:val="22"/>
          <w:szCs w:val="22"/>
        </w:rPr>
      </w:pPr>
      <w:r w:rsidRPr="00D047FA">
        <w:rPr>
          <w:rFonts w:asciiTheme="majorHAnsi" w:hAnsiTheme="majorHAnsi" w:cstheme="majorHAnsi"/>
          <w:sz w:val="22"/>
          <w:szCs w:val="22"/>
        </w:rPr>
        <w:t>Registration fees.</w:t>
      </w:r>
    </w:p>
    <w:p w14:paraId="7AE9E457" w14:textId="77777777" w:rsidR="00DC4D31" w:rsidRPr="00D047FA" w:rsidRDefault="00DC4D31" w:rsidP="00DC4D31">
      <w:pPr>
        <w:pStyle w:val="NoSpacing"/>
        <w:numPr>
          <w:ilvl w:val="3"/>
          <w:numId w:val="4"/>
        </w:numPr>
        <w:rPr>
          <w:rFonts w:asciiTheme="majorHAnsi" w:hAnsiTheme="majorHAnsi" w:cstheme="majorHAnsi"/>
          <w:sz w:val="22"/>
          <w:szCs w:val="22"/>
        </w:rPr>
      </w:pPr>
      <w:r w:rsidRPr="00D047FA">
        <w:rPr>
          <w:rFonts w:asciiTheme="majorHAnsi" w:hAnsiTheme="majorHAnsi" w:cstheme="majorHAnsi"/>
          <w:sz w:val="22"/>
          <w:szCs w:val="22"/>
        </w:rPr>
        <w:t>Charges for storage and handling of equipment.</w:t>
      </w:r>
    </w:p>
    <w:p w14:paraId="79E9CEF8" w14:textId="77777777" w:rsidR="00DC4D31" w:rsidRDefault="00DC4D31" w:rsidP="00DC4D31">
      <w:pPr>
        <w:pStyle w:val="NoSpacing"/>
        <w:numPr>
          <w:ilvl w:val="3"/>
          <w:numId w:val="4"/>
        </w:numPr>
        <w:rPr>
          <w:rFonts w:asciiTheme="majorHAnsi" w:hAnsiTheme="majorHAnsi" w:cstheme="majorHAnsi"/>
          <w:sz w:val="22"/>
          <w:szCs w:val="22"/>
        </w:rPr>
      </w:pPr>
      <w:r w:rsidRPr="00D047FA">
        <w:rPr>
          <w:rFonts w:asciiTheme="majorHAnsi" w:hAnsiTheme="majorHAnsi" w:cstheme="majorHAnsi"/>
          <w:sz w:val="22"/>
          <w:szCs w:val="22"/>
        </w:rPr>
        <w:t>Taxi and bus fares.</w:t>
      </w:r>
    </w:p>
    <w:p w14:paraId="19B5F98E" w14:textId="77777777" w:rsidR="00DC4D31" w:rsidRDefault="00DC4D31" w:rsidP="00DC4D31">
      <w:pPr>
        <w:pStyle w:val="NoSpacing"/>
        <w:numPr>
          <w:ilvl w:val="3"/>
          <w:numId w:val="4"/>
        </w:numPr>
        <w:rPr>
          <w:rFonts w:asciiTheme="majorHAnsi" w:hAnsiTheme="majorHAnsi" w:cstheme="majorHAnsi"/>
          <w:sz w:val="22"/>
          <w:szCs w:val="22"/>
        </w:rPr>
      </w:pPr>
      <w:r w:rsidRPr="00B57EAD">
        <w:rPr>
          <w:rFonts w:asciiTheme="majorHAnsi" w:hAnsiTheme="majorHAnsi" w:cstheme="majorHAnsi"/>
          <w:sz w:val="22"/>
          <w:szCs w:val="22"/>
        </w:rPr>
        <w:t>Limousine services to and from terminals or stations.</w:t>
      </w:r>
    </w:p>
    <w:p w14:paraId="753380FE" w14:textId="77777777" w:rsidR="00DC4D31" w:rsidRPr="00B57EAD" w:rsidRDefault="00DC4D31" w:rsidP="00DC4D31">
      <w:pPr>
        <w:pStyle w:val="NoSpacing"/>
        <w:numPr>
          <w:ilvl w:val="3"/>
          <w:numId w:val="4"/>
        </w:numPr>
        <w:rPr>
          <w:rFonts w:asciiTheme="majorHAnsi" w:hAnsiTheme="majorHAnsi" w:cstheme="majorHAnsi"/>
          <w:sz w:val="22"/>
          <w:szCs w:val="22"/>
        </w:rPr>
      </w:pPr>
      <w:r w:rsidRPr="00B57EAD">
        <w:rPr>
          <w:rFonts w:asciiTheme="majorHAnsi" w:hAnsiTheme="majorHAnsi" w:cstheme="majorHAnsi"/>
          <w:sz w:val="22"/>
          <w:szCs w:val="22"/>
        </w:rPr>
        <w:t xml:space="preserve">Vehicle Rental - when determined to be in the best interest of the Parish and approved prior to rental of vehicle when approved by the Director, Chief Administrative </w:t>
      </w:r>
      <w:proofErr w:type="gramStart"/>
      <w:r w:rsidRPr="00B57EAD">
        <w:rPr>
          <w:rFonts w:asciiTheme="majorHAnsi" w:hAnsiTheme="majorHAnsi" w:cstheme="majorHAnsi"/>
          <w:sz w:val="22"/>
          <w:szCs w:val="22"/>
        </w:rPr>
        <w:t>Officer</w:t>
      </w:r>
      <w:proofErr w:type="gramEnd"/>
      <w:r w:rsidRPr="00B57EAD">
        <w:rPr>
          <w:rFonts w:asciiTheme="majorHAnsi" w:hAnsiTheme="majorHAnsi" w:cstheme="majorHAnsi"/>
          <w:sz w:val="22"/>
          <w:szCs w:val="22"/>
        </w:rPr>
        <w:t xml:space="preserve"> or Parish President. </w:t>
      </w:r>
    </w:p>
    <w:p w14:paraId="53E88A41" w14:textId="77777777" w:rsidR="00DC4D31" w:rsidRPr="00D047FA" w:rsidRDefault="00DC4D31" w:rsidP="00DC4D31">
      <w:pPr>
        <w:pStyle w:val="NoSpacing"/>
        <w:numPr>
          <w:ilvl w:val="2"/>
          <w:numId w:val="4"/>
        </w:numPr>
        <w:rPr>
          <w:rFonts w:asciiTheme="majorHAnsi" w:hAnsiTheme="majorHAnsi" w:cstheme="majorHAnsi"/>
          <w:sz w:val="22"/>
          <w:szCs w:val="22"/>
        </w:rPr>
      </w:pPr>
      <w:r w:rsidRPr="00D047FA">
        <w:rPr>
          <w:rFonts w:asciiTheme="majorHAnsi" w:hAnsiTheme="majorHAnsi" w:cstheme="majorHAnsi"/>
          <w:sz w:val="22"/>
          <w:szCs w:val="22"/>
        </w:rPr>
        <w:t xml:space="preserve">Travel advances are limited to lodging, commercial transportation, and registration fees. </w:t>
      </w:r>
    </w:p>
    <w:p w14:paraId="1B0CD4BB" w14:textId="77777777" w:rsidR="00DC4D31" w:rsidRPr="00FC71CA" w:rsidRDefault="00DC4D31" w:rsidP="00DC4D31">
      <w:pPr>
        <w:pStyle w:val="NoSpacing"/>
        <w:numPr>
          <w:ilvl w:val="2"/>
          <w:numId w:val="4"/>
        </w:numPr>
        <w:rPr>
          <w:rFonts w:asciiTheme="majorHAnsi" w:hAnsiTheme="majorHAnsi" w:cstheme="majorHAnsi"/>
          <w:sz w:val="22"/>
          <w:szCs w:val="22"/>
        </w:rPr>
      </w:pPr>
      <w:r w:rsidRPr="00D047FA">
        <w:rPr>
          <w:rFonts w:asciiTheme="majorHAnsi" w:hAnsiTheme="majorHAnsi" w:cstheme="majorHAnsi"/>
          <w:sz w:val="22"/>
          <w:szCs w:val="22"/>
        </w:rPr>
        <w:t>Travel outside of the Parish is subject to the approval of the employee’s Department Director or the Parish President prior to the scheduling of a trip. In the event a traveler cancels</w:t>
      </w:r>
      <w:r>
        <w:rPr>
          <w:rFonts w:asciiTheme="majorHAnsi" w:hAnsiTheme="majorHAnsi" w:cstheme="majorHAnsi"/>
          <w:sz w:val="22"/>
          <w:szCs w:val="22"/>
        </w:rPr>
        <w:t>/changes</w:t>
      </w:r>
      <w:r w:rsidRPr="00D047FA">
        <w:rPr>
          <w:rFonts w:asciiTheme="majorHAnsi" w:hAnsiTheme="majorHAnsi" w:cstheme="majorHAnsi"/>
          <w:sz w:val="22"/>
          <w:szCs w:val="22"/>
        </w:rPr>
        <w:t xml:space="preserve"> travel plans, the traveler will reimburse the Parish for any non-refundable expense related to commercial transportation, lodging, registration fees, etc.</w:t>
      </w:r>
    </w:p>
    <w:p w14:paraId="5649B9BD" w14:textId="77777777" w:rsidR="00DC4D31" w:rsidRPr="00D047FA" w:rsidRDefault="00DC4D31" w:rsidP="00DC4D31">
      <w:pPr>
        <w:pStyle w:val="Heading2"/>
      </w:pPr>
      <w:bookmarkStart w:id="5" w:name="_Toc36542366"/>
      <w:r w:rsidRPr="00D047FA">
        <w:t>Extraordinary Meals and Expenses</w:t>
      </w:r>
      <w:bookmarkEnd w:id="5"/>
    </w:p>
    <w:p w14:paraId="65675D27" w14:textId="77777777" w:rsidR="00DC4D31" w:rsidRPr="00D047FA" w:rsidRDefault="00DC4D31" w:rsidP="00DC4D31">
      <w:pPr>
        <w:pStyle w:val="NoSpacing"/>
        <w:numPr>
          <w:ilvl w:val="2"/>
          <w:numId w:val="5"/>
        </w:numPr>
        <w:rPr>
          <w:rFonts w:asciiTheme="majorHAnsi" w:hAnsiTheme="majorHAnsi" w:cstheme="majorHAnsi"/>
          <w:sz w:val="22"/>
          <w:szCs w:val="22"/>
        </w:rPr>
      </w:pPr>
      <w:r w:rsidRPr="00D047FA">
        <w:rPr>
          <w:rFonts w:asciiTheme="majorHAnsi" w:hAnsiTheme="majorHAnsi" w:cstheme="majorHAnsi"/>
          <w:sz w:val="22"/>
          <w:szCs w:val="22"/>
        </w:rPr>
        <w:t xml:space="preserve">The Parish shall reimburse employees for extraordinary meals and expenses on occasions when, as a matter of extraordinary courtesy or necessity, it is appropriate and in the best interest of the Parish to use public funds for provision of a meal to a person or employee who is not otherwise eligible for such reimbursement or where reimbursement is not available from another source. </w:t>
      </w:r>
    </w:p>
    <w:p w14:paraId="496D84AC" w14:textId="77777777" w:rsidR="00DC4D31" w:rsidRPr="00D047FA" w:rsidRDefault="00DC4D31" w:rsidP="00DC4D31">
      <w:pPr>
        <w:pStyle w:val="NoSpacing"/>
        <w:numPr>
          <w:ilvl w:val="2"/>
          <w:numId w:val="5"/>
        </w:numPr>
        <w:rPr>
          <w:rFonts w:asciiTheme="majorHAnsi" w:hAnsiTheme="majorHAnsi" w:cstheme="majorHAnsi"/>
          <w:sz w:val="22"/>
          <w:szCs w:val="22"/>
        </w:rPr>
      </w:pPr>
      <w:r w:rsidRPr="00D047FA">
        <w:rPr>
          <w:rFonts w:asciiTheme="majorHAnsi" w:hAnsiTheme="majorHAnsi" w:cstheme="majorHAnsi"/>
          <w:sz w:val="22"/>
          <w:szCs w:val="22"/>
        </w:rPr>
        <w:t>Such extraordinary expenses shall include meals and accommodations for visiting dignitaries, executive level elected officials, or employees from other governmental units. This explicitly does not include normal visits, meetings, reviews, etc., by federal or local representatives. Extraordinary expenses may also include when Parish employees are required to leave the office to handle emergencies or respond to unusual circumstances.</w:t>
      </w:r>
    </w:p>
    <w:p w14:paraId="63E7963F" w14:textId="09879CB8" w:rsidR="009023AF" w:rsidRDefault="00DC4D31" w:rsidP="00DC4D31">
      <w:r w:rsidRPr="00D047FA">
        <w:rPr>
          <w:rFonts w:asciiTheme="majorHAnsi" w:hAnsiTheme="majorHAnsi" w:cstheme="majorHAnsi"/>
          <w:sz w:val="22"/>
          <w:szCs w:val="22"/>
        </w:rPr>
        <w:t>All extraordinary expenses must have prior approval from the Parish President and/or Department Director. Such expenses shall include the names, official titles, or affiliations of all persons for whom reimbursement of expenses is being requested.</w:t>
      </w:r>
    </w:p>
    <w:sectPr w:rsidR="0090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7466"/>
    <w:multiLevelType w:val="multilevel"/>
    <w:tmpl w:val="9ECCA3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B71486"/>
    <w:multiLevelType w:val="multilevel"/>
    <w:tmpl w:val="04022358"/>
    <w:lvl w:ilvl="0">
      <w:start w:val="1"/>
      <w:numFmt w:val="upperRoman"/>
      <w:pStyle w:val="Heading1"/>
      <w:lvlText w:val="%1."/>
      <w:lvlJc w:val="left"/>
      <w:pPr>
        <w:ind w:left="90" w:firstLine="0"/>
      </w:pPr>
    </w:lvl>
    <w:lvl w:ilvl="1">
      <w:start w:val="1"/>
      <w:numFmt w:val="upperLetter"/>
      <w:pStyle w:val="Heading2"/>
      <w:lvlText w:val="%2."/>
      <w:lvlJc w:val="left"/>
      <w:pPr>
        <w:ind w:left="6390" w:firstLine="0"/>
      </w:pPr>
      <w:rPr>
        <w:strike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BE17868"/>
    <w:multiLevelType w:val="multilevel"/>
    <w:tmpl w:val="9ECCA3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7454A8"/>
    <w:multiLevelType w:val="multilevel"/>
    <w:tmpl w:val="9ECCA3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A019E2"/>
    <w:multiLevelType w:val="multilevel"/>
    <w:tmpl w:val="9ECCA3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523651">
    <w:abstractNumId w:val="1"/>
  </w:num>
  <w:num w:numId="2" w16cid:durableId="125851375">
    <w:abstractNumId w:val="2"/>
  </w:num>
  <w:num w:numId="3" w16cid:durableId="1358122694">
    <w:abstractNumId w:val="4"/>
  </w:num>
  <w:num w:numId="4" w16cid:durableId="1144002548">
    <w:abstractNumId w:val="3"/>
  </w:num>
  <w:num w:numId="5" w16cid:durableId="5094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31"/>
    <w:rsid w:val="001C34A2"/>
    <w:rsid w:val="00480AEC"/>
    <w:rsid w:val="00722842"/>
    <w:rsid w:val="009023AF"/>
    <w:rsid w:val="00973236"/>
    <w:rsid w:val="00DC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1E37"/>
  <w15:chartTrackingRefBased/>
  <w15:docId w15:val="{006EDC63-7B01-417C-85E3-BE56830A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31"/>
    <w:pPr>
      <w:spacing w:after="0" w:line="240" w:lineRule="auto"/>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uiPriority w:val="9"/>
    <w:qFormat/>
    <w:rsid w:val="00DC4D3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4D31"/>
    <w:pPr>
      <w:keepNext/>
      <w:keepLines/>
      <w:numPr>
        <w:ilvl w:val="1"/>
        <w:numId w:val="1"/>
      </w:numPr>
      <w:spacing w:before="40"/>
      <w:ind w:left="45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4D31"/>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C4D3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C4D31"/>
    <w:pPr>
      <w:keepNext/>
      <w:numPr>
        <w:ilvl w:val="4"/>
        <w:numId w:val="1"/>
      </w:numPr>
      <w:jc w:val="center"/>
      <w:outlineLvl w:val="4"/>
    </w:pPr>
    <w:rPr>
      <w:b/>
      <w:bCs/>
    </w:rPr>
  </w:style>
  <w:style w:type="paragraph" w:styleId="Heading6">
    <w:name w:val="heading 6"/>
    <w:basedOn w:val="Normal"/>
    <w:next w:val="Normal"/>
    <w:link w:val="Heading6Char"/>
    <w:uiPriority w:val="9"/>
    <w:semiHidden/>
    <w:unhideWhenUsed/>
    <w:qFormat/>
    <w:rsid w:val="00DC4D3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4D3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4D3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D3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3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C4D3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C4D3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C4D31"/>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rsid w:val="00DC4D31"/>
    <w:rPr>
      <w:rFonts w:ascii="Times New Roman" w:eastAsia="Times New Roman" w:hAnsi="Times New Roman" w:cs="Times New Roman"/>
      <w:b/>
      <w:bCs/>
      <w:color w:val="000000"/>
      <w:kern w:val="0"/>
      <w:sz w:val="24"/>
      <w:szCs w:val="20"/>
      <w14:ligatures w14:val="none"/>
    </w:rPr>
  </w:style>
  <w:style w:type="character" w:customStyle="1" w:styleId="Heading6Char">
    <w:name w:val="Heading 6 Char"/>
    <w:basedOn w:val="DefaultParagraphFont"/>
    <w:link w:val="Heading6"/>
    <w:uiPriority w:val="9"/>
    <w:semiHidden/>
    <w:rsid w:val="00DC4D31"/>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uiPriority w:val="9"/>
    <w:semiHidden/>
    <w:rsid w:val="00DC4D31"/>
    <w:rPr>
      <w:rFonts w:asciiTheme="majorHAnsi" w:eastAsiaTheme="majorEastAsia" w:hAnsiTheme="majorHAnsi" w:cstheme="majorBidi"/>
      <w:i/>
      <w:iCs/>
      <w:color w:val="1F3763" w:themeColor="accent1" w:themeShade="7F"/>
      <w:kern w:val="0"/>
      <w:sz w:val="24"/>
      <w:szCs w:val="20"/>
      <w14:ligatures w14:val="none"/>
    </w:rPr>
  </w:style>
  <w:style w:type="character" w:customStyle="1" w:styleId="Heading8Char">
    <w:name w:val="Heading 8 Char"/>
    <w:basedOn w:val="DefaultParagraphFont"/>
    <w:link w:val="Heading8"/>
    <w:uiPriority w:val="9"/>
    <w:semiHidden/>
    <w:rsid w:val="00DC4D3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C4D31"/>
    <w:rPr>
      <w:rFonts w:asciiTheme="majorHAnsi" w:eastAsiaTheme="majorEastAsia" w:hAnsiTheme="majorHAnsi" w:cstheme="majorBidi"/>
      <w:i/>
      <w:iCs/>
      <w:color w:val="272727" w:themeColor="text1" w:themeTint="D8"/>
      <w:kern w:val="0"/>
      <w:sz w:val="21"/>
      <w:szCs w:val="21"/>
      <w14:ligatures w14:val="none"/>
    </w:rPr>
  </w:style>
  <w:style w:type="paragraph" w:styleId="NoSpacing">
    <w:name w:val="No Spacing"/>
    <w:qFormat/>
    <w:rsid w:val="00DC4D31"/>
    <w:pPr>
      <w:spacing w:after="0" w:line="240" w:lineRule="auto"/>
    </w:pPr>
    <w:rPr>
      <w:rFonts w:ascii="Times New Roman" w:eastAsia="Times New Roman"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Boughton</dc:creator>
  <cp:keywords/>
  <dc:description/>
  <cp:lastModifiedBy>Felix Boughton</cp:lastModifiedBy>
  <cp:revision>1</cp:revision>
  <dcterms:created xsi:type="dcterms:W3CDTF">2023-07-13T21:22:00Z</dcterms:created>
  <dcterms:modified xsi:type="dcterms:W3CDTF">2023-07-13T21:23:00Z</dcterms:modified>
</cp:coreProperties>
</file>